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4.png" ContentType="image/png"/>
  <Override PartName="/word/media/rId165.png" ContentType="image/png"/>
  <Override PartName="/word/media/rId168.png" ContentType="image/png"/>
  <Override PartName="/word/media/rId171.png" ContentType="image/png"/>
  <Override PartName="/word/media/rId177.png" ContentType="image/png"/>
  <Override PartName="/word/media/rId180.png" ContentType="image/png"/>
  <Override PartName="/word/media/rId162.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assesses</w:t>
      </w:r>
      <w:r>
        <w:t xml:space="preserve"> </w:t>
      </w:r>
      <w:r>
        <w:t xml:space="preserve">and</w:t>
      </w:r>
      <w:r>
        <w:t xml:space="preserve"> </w:t>
      </w:r>
      <w:r>
        <w:t xml:space="preserve">characterizes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those</w:t>
      </w:r>
      <w:r>
        <w:t xml:space="preserve"> </w:t>
      </w:r>
      <w:r>
        <w:t xml:space="preserve">in</w:t>
      </w:r>
      <w:r>
        <w:t xml:space="preserve"> </w:t>
      </w:r>
      <w:r>
        <w:t xml:space="preserve">different-sex</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policy landscapes are highly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However, given that sexuality receives relatively scant attention within migration research, there has yet to be a quantitative, representative investigation into how changing policy environments influence the migration patterns of individuals in same-sex couples into and across the U.S. Through studying the migration of same-sex couples, then, this study allows us to get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the immigrants in same-sex couples differ markedly compared to co-nationals in different-sex relationships. Specifically, those in same-sex relationships are often better educated, have higher incomes, and appear less influenced by network effects.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Migration scholars have long accepted that migration is more likely when economic gain is likely</w:t>
      </w:r>
      <w:r>
        <w:t xml:space="preserve"> </w:t>
      </w:r>
      <w:r>
        <w:t xml:space="preserve">(Hatton &amp; Williamson, 2005; Todaro, 1980)</w:t>
      </w:r>
      <w:r>
        <w:t xml:space="preserve">, established migration flows exist</w:t>
      </w:r>
      <w:r>
        <w:t xml:space="preserve"> </w:t>
      </w:r>
      <w:r>
        <w:t xml:space="preserve">(Hernández-León, 2013; Massey et al., 1987, 1999)</w:t>
      </w:r>
      <w:r>
        <w:t xml:space="preserve">, and countries are physically and culturally proximate</w:t>
      </w:r>
      <w:r>
        <w:t xml:space="preserve"> </w:t>
      </w:r>
      <w:r>
        <w:t xml:space="preserve">(Karemera et al., 2000; Mayda, 2010)</w:t>
      </w:r>
      <w:r>
        <w:t xml:space="preserve">. Despite a lack of research applying these theories to migration of same-sex couples, previous demographic research on non-immigrant same-sex couples suggests how they might apply. In the labor market, men in same-sex couples tend to earn less than their heterosexual counterparts, but women tend to earn more</w:t>
      </w:r>
      <w:r>
        <w:t xml:space="preserve"> </w:t>
      </w:r>
      <w:r>
        <w:t xml:space="preserve">(Klawitter, 2015)</w:t>
      </w:r>
      <w:r>
        <w:t xml:space="preserve"> </w:t>
      </w:r>
      <w:r>
        <w:t xml:space="preserve">– though the gap for the latter has decreased in recent years</w:t>
      </w:r>
      <w:r>
        <w:t xml:space="preserve"> </w:t>
      </w:r>
      <w:r>
        <w:t xml:space="preserve">(Badgett et al., 2021)</w:t>
      </w:r>
      <w:r>
        <w:t xml:space="preserve">. On average, married same-sex couples are older and have higher earnings than their different-sex counterparts</w:t>
      </w:r>
      <w:r>
        <w:t xml:space="preserve"> </w:t>
      </w:r>
      <w:r>
        <w:t xml:space="preserve">(Fisher et al., 2018)</w:t>
      </w:r>
      <w:r>
        <w:t xml:space="preserve">, while results for unmarried couples are mixed</w:t>
      </w:r>
      <w:r>
        <w:t xml:space="preserve"> </w:t>
      </w:r>
      <w:r>
        <w:t xml:space="preserve">(Badgett et al., 2021; Baumle et al., 2009)</w:t>
      </w:r>
      <w:r>
        <w:t xml:space="preserve">. If immigrants in same-sex couples similarly have higher earnings than heterosexual immigrants, then the typical economic push and pull factors of immigration may affect them differently. One difference is that these higher earnings may open pathways for lifestyle factors to influence their migration decisions</w:t>
      </w:r>
      <w:r>
        <w:t xml:space="preserve"> </w:t>
      </w:r>
      <w:r>
        <w:t xml:space="preserve">(Benson &amp; O’Reilly, 2009; Dixon, 2020)</w:t>
      </w:r>
      <w:r>
        <w:t xml:space="preserve">. Finally, although same-sex romantic relationships between men generally have higher levels of instability than between two women or different-sex relationships</w:t>
      </w:r>
      <w:r>
        <w:t xml:space="preserve"> </w:t>
      </w:r>
      <w:r>
        <w:t xml:space="preserve">(Joyner et al., 2017)</w:t>
      </w:r>
      <w:r>
        <w:t xml:space="preserve">, the dissolution rates for cohabiting same- and different-sex couples are similar</w:t>
      </w:r>
      <w:r>
        <w:t xml:space="preserve"> </w:t>
      </w:r>
      <w:r>
        <w:t xml:space="preserve">(Manning et al., 2016)</w:t>
      </w:r>
      <w:r>
        <w:t xml:space="preserve">. If LGB immigrants experience higher rates of union dissolution, then our estimates of the proportion of immigrants who are in same-sex couples represents a lower bound.</w:t>
      </w:r>
    </w:p>
    <w:p>
      <w:pPr>
        <w:pStyle w:val="BodyText"/>
      </w:pPr>
    </w:p>
    <w:p>
      <w:pPr>
        <w:pStyle w:val="BodyText"/>
      </w:pPr>
      <w:r>
        <w:t xml:space="preserve">Are LGB immigrants coming from generally repressive or progressive contexts? Despite representative research on this population, there is evidence to support both hypotheses. On the one hand, much queer migration research reflects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this reflects the numerous studies characterizing migrants in same-sex relationships as largely escaping repressive contexts</w:t>
      </w:r>
      <w:r>
        <w:t xml:space="preserve"> </w:t>
      </w:r>
      <w:r>
        <w:t xml:space="preserve">(Akin, 2017; Dhoest, 2019; Giametta, 2020a; Murray, 2014; Saleh, 2020; Sam &amp; Finley, 2015)</w:t>
      </w:r>
      <w:r>
        <w:t xml:space="preserve">. This narrative is, in part, due to most scholarship within this area focusing on asylum processes, especially after the U.N. guidance note in 2008 and after then-President Obama made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Moreover, another strand of research documents how people in more oppressive contexts seek out partners in more equitable locations who can then sponsor them through the immigration process</w:t>
      </w:r>
      <w:r>
        <w:t xml:space="preserve"> </w:t>
      </w:r>
      <w:r>
        <w:t xml:space="preserve">(Carrillo, 2018; Corey-Boulet, 2019)</w:t>
      </w:r>
      <w:r>
        <w:t xml:space="preserve">.</w:t>
      </w:r>
    </w:p>
    <w:p>
      <w:pPr>
        <w:pStyle w:val="BodyText"/>
      </w:pPr>
      <w:r>
        <w:t xml:space="preserve">Though such studies suggest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two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w:t>
      </w:r>
      <w:r>
        <w:t xml:space="preserve"> </w:t>
      </w: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7,077 immigrants in same-sex couples with complete data. These immigrants are compared to 641,521 corresponding different-sex couples containing 900,571 individual immigrants. All analyses incorporate ACS sampling weights.</w:t>
      </w:r>
    </w:p>
    <w:p>
      <w:pPr>
        <w:pStyle w:val="BodyText"/>
      </w:pPr>
      <w:r>
        <w:t xml:space="preserve">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606 immigrants in same-sex couples and 49,204 in different-sex couples, or 5.2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37,980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(U.S. minus country of origin),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We proxy network effects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macroeconomic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LGB immigrants come from countries with lower unemployment rates. These findings indicate that macroeconomic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and restricting the sample to married, one-immigrant, or two-immigrant couples.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r>
        <w:br/>
      </w: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gap within migration studies, highlighting the role of the state and the salience of sexuality in conditioning migratory patterns</w:t>
      </w:r>
      <w:r>
        <w:t xml:space="preserve"> </w:t>
      </w:r>
      <w:r>
        <w:t xml:space="preserve">(Carrillo, 2018; Fitzgerald et al., 2014)</w:t>
      </w:r>
      <w:r>
        <w:t xml:space="preserve">.</w:t>
      </w:r>
    </w:p>
    <w:p>
      <w:pPr>
        <w:pStyle w:val="BodyText"/>
      </w:pPr>
      <w:r>
        <w:t xml:space="preserve">To address our research question, we take advantage of an underutilized data source: self-reports of same-sex immigrant couples in the American Community Survey from 2008 to 2019. Despite this being one of the few national surveys to identify immigrants in same-sex couples, these data are virtually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number of important correctives to the literature. First, existing scholarship on immigrants in same-sex couples, and queer migration more broadly, largely focuses on the asylum and refugee processes</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w:t>
      </w:r>
      <w:r>
        <w:t xml:space="preserve">. While such studies are not seeking generalizability, this emphasis within queer migration scholarship can leave an impression that fleeing repressive contexts is typical and may distort our understanding of who these immigrants are, the types of environments they are leaving,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as it reveals that these communities are of privileged social standing, constituting a substantial amendment to the queer migration literature.</w:t>
      </w:r>
    </w:p>
    <w:p>
      <w:pPr>
        <w:pStyle w:val="BodyText"/>
      </w:pPr>
      <w:r>
        <w:t xml:space="preserve">Building on our understanding of who these migrants are, how do LGB policies in their countries of origin influence their desires to come to the U.S.? Despite existing scholarship portraying LGB couples fleeing repression,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couples are coming from environments that are increasingly more open. This is true even after accounting for factors from conventional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and seek out partnership.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After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Second, finding that immigrants in same-sex couples are both coming from more open policy environments and locating to progressive U.S. states riases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in part due to the DOMA decision’s relevance for them. However, our results may not generalize to U.S. immigrants who remain single or do not cohabit, whether LGB or straight. More data, especially data on single LGB migrants, is urgently needed. As mentioned, supportive policy environments may both be the result of and further reinforce self-disclosure and same-sex coupledom. Consequently, data on single LGB migrants may include a more diverse set of origin policy environments. If single LGB individuals are more likely to come from repressive contexts, the LGB sample identified by the ACS may systematically exclude LGB migrants from less favorable policy environments. Although the cultural and geographic variation in responses shown in Table</w:t>
      </w:r>
      <w:r>
        <w:t xml:space="preserve"> </w:t>
      </w:r>
      <w:r>
        <w:t xml:space="preserve">1</w:t>
      </w:r>
      <w:r>
        <w:t xml:space="preserve"> </w:t>
      </w:r>
      <w:r>
        <w:t xml:space="preserve">suggests that responses are not a function of culture itself, future work on single immigrants is needed to understand the generalizability of our findings.</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Recent research has argued that sexuality is a salient factor determining immigration decisions. We show that differences between immigrants in same- and different-sex couples cannot be explained solely using classic theories of migration; policy context and sexuality interact in complicated ways to shape migratory flows. 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0" w:name="references"/>
    <w:p>
      <w:pPr>
        <w:pStyle w:val="Heading1"/>
      </w:pPr>
      <w:r>
        <w:t xml:space="preserve">References</w:t>
      </w:r>
    </w:p>
    <w:p>
      <w:pPr>
        <w:pStyle w:val="FirstParagraph"/>
      </w:pPr>
    </w:p>
    <w:bookmarkStart w:id="159"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P.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dgett_2021_lgbtq"/>
    <w:p>
      <w:pPr>
        <w:pStyle w:val="Bibliography"/>
      </w:pPr>
      <w:r>
        <w:t xml:space="preserve">Badgett, M. V. L., Carpenter, C. S., &amp; Sansone, D. (2021).</w:t>
      </w:r>
      <w:r>
        <w:t xml:space="preserve"> </w:t>
      </w:r>
      <w:r>
        <w:t xml:space="preserve">LGBTQ Economics</w:t>
      </w:r>
      <w:r>
        <w:t xml:space="preserve">.</w:t>
      </w:r>
      <w:r>
        <w:t xml:space="preserve"> </w:t>
      </w:r>
      <w:r>
        <w:rPr>
          <w:iCs/>
          <w:i/>
        </w:rPr>
        <w:t xml:space="preserve">Journal of Economic Perspectives</w:t>
      </w:r>
      <w:r>
        <w:t xml:space="preserve">,</w:t>
      </w:r>
      <w:r>
        <w:t xml:space="preserve"> </w:t>
      </w:r>
      <w:r>
        <w:rPr>
          <w:iCs/>
          <w:i/>
        </w:rPr>
        <w:t xml:space="preserve">35</w:t>
      </w:r>
      <w:r>
        <w:t xml:space="preserve">(2), 141–170.</w:t>
      </w:r>
      <w:r>
        <w:t xml:space="preserve"> </w:t>
      </w:r>
      <w:hyperlink r:id="rId43">
        <w:r>
          <w:rPr>
            <w:rStyle w:val="Hyperlink"/>
          </w:rPr>
          <w:t xml:space="preserve">https://doi.org/10.1257/jep.35.2.141</w:t>
        </w:r>
      </w:hyperlink>
    </w:p>
    <w:bookmarkEnd w:id="44"/>
    <w:bookmarkStart w:id="46"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5">
        <w:r>
          <w:rPr>
            <w:rStyle w:val="Hyperlink"/>
          </w:rPr>
          <w:t xml:space="preserve">https://doi.org/10.1177/0192513X12464872</w:t>
        </w:r>
      </w:hyperlink>
    </w:p>
    <w:bookmarkEnd w:id="46"/>
    <w:bookmarkStart w:id="48"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7">
        <w:r>
          <w:rPr>
            <w:rStyle w:val="Hyperlink"/>
          </w:rPr>
          <w:t xml:space="preserve">https://doi.org/10.1007/978-94-007-5512-3</w:t>
        </w:r>
      </w:hyperlink>
    </w:p>
    <w:bookmarkEnd w:id="48"/>
    <w:bookmarkStart w:id="49"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9"/>
    <w:bookmarkStart w:id="51"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50">
        <w:r>
          <w:rPr>
            <w:rStyle w:val="Hyperlink"/>
          </w:rPr>
          <w:t xml:space="preserve">https://doi.org/10.1007/978-3-030-10910-3_11</w:t>
        </w:r>
      </w:hyperlink>
    </w:p>
    <w:bookmarkEnd w:id="51"/>
    <w:bookmarkStart w:id="52"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2"/>
    <w:bookmarkStart w:id="54"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3">
        <w:r>
          <w:rPr>
            <w:rStyle w:val="Hyperlink"/>
          </w:rPr>
          <w:t xml:space="preserve">https://doi.org/10.1080/00036846.2016.1251565</w:t>
        </w:r>
      </w:hyperlink>
    </w:p>
    <w:bookmarkEnd w:id="54"/>
    <w:bookmarkStart w:id="56"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5">
        <w:r>
          <w:rPr>
            <w:rStyle w:val="Hyperlink"/>
          </w:rPr>
          <w:t xml:space="preserve">https://doi.org/10.1111/j.1467-954X.2009.01864.x</w:t>
        </w:r>
      </w:hyperlink>
    </w:p>
    <w:bookmarkEnd w:id="56"/>
    <w:bookmarkStart w:id="57"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7"/>
    <w:bookmarkStart w:id="58"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8"/>
    <w:bookmarkStart w:id="59"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2"/>
    <w:bookmarkStart w:id="63"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3"/>
    <w:bookmarkStart w:id="65"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4">
        <w:r>
          <w:rPr>
            <w:rStyle w:val="Hyperlink"/>
          </w:rPr>
          <w:t xml:space="preserve">https://doi.org/10.1111/kykl.12206</w:t>
        </w:r>
      </w:hyperlink>
    </w:p>
    <w:bookmarkEnd w:id="65"/>
    <w:bookmarkStart w:id="66" w:name="ref-coppedge_2021"/>
    <w:p>
      <w:pPr>
        <w:pStyle w:val="Bibliography"/>
      </w:pPr>
      <w:r>
        <w:t xml:space="preserve">Coppedge, M., Gerring, J., Knutsen, C. H., Lindberg, S. I., Teorell, J., Alizada, N., Altman, D., Bernhard, M., Cornell, A., Fish, M. S.others.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6"/>
    <w:bookmarkStart w:id="67"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67"/>
    <w:bookmarkStart w:id="69"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68">
        <w:r>
          <w:rPr>
            <w:rStyle w:val="Hyperlink"/>
          </w:rPr>
          <w:t xml:space="preserve">https://doi.org/10.1186/s40878-020-00210-4</w:t>
        </w:r>
      </w:hyperlink>
    </w:p>
    <w:bookmarkEnd w:id="69"/>
    <w:bookmarkStart w:id="71"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0">
        <w:r>
          <w:rPr>
            <w:rStyle w:val="Hyperlink"/>
          </w:rPr>
          <w:t xml:space="preserve">https://doi.org/10.1080/1369183X.2017.1420466</w:t>
        </w:r>
      </w:hyperlink>
    </w:p>
    <w:bookmarkEnd w:id="71"/>
    <w:bookmarkStart w:id="73"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2">
        <w:r>
          <w:rPr>
            <w:rStyle w:val="Hyperlink"/>
          </w:rPr>
          <w:t xml:space="preserve">https://doi.org/10.1177/0011392119850231</w:t>
        </w:r>
      </w:hyperlink>
    </w:p>
    <w:bookmarkEnd w:id="73"/>
    <w:bookmarkStart w:id="74"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4"/>
    <w:bookmarkStart w:id="76"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75">
        <w:r>
          <w:rPr>
            <w:rStyle w:val="Hyperlink"/>
          </w:rPr>
          <w:t xml:space="preserve">https://doi.org/10.1257/aer.20130954</w:t>
        </w:r>
      </w:hyperlink>
    </w:p>
    <w:bookmarkEnd w:id="76"/>
    <w:bookmarkStart w:id="78"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77">
        <w:r>
          <w:rPr>
            <w:rStyle w:val="Hyperlink"/>
          </w:rPr>
          <w:t xml:space="preserve">https://doi.org/10.1146/annurev-soc-121919-054639</w:t>
        </w:r>
      </w:hyperlink>
    </w:p>
    <w:bookmarkEnd w:id="78"/>
    <w:bookmarkStart w:id="80"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79">
        <w:r>
          <w:rPr>
            <w:rStyle w:val="Hyperlink"/>
          </w:rPr>
          <w:t xml:space="preserve">https://doi.org/10.1007/s13524-018-0684-5</w:t>
        </w:r>
      </w:hyperlink>
    </w:p>
    <w:bookmarkEnd w:id="80"/>
    <w:bookmarkStart w:id="82"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1">
        <w:r>
          <w:rPr>
            <w:rStyle w:val="Hyperlink"/>
          </w:rPr>
          <w:t xml:space="preserve">https://doi.org/10.1017/S0043887114000112</w:t>
        </w:r>
      </w:hyperlink>
    </w:p>
    <w:bookmarkEnd w:id="82"/>
    <w:bookmarkStart w:id="84"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3">
        <w:r>
          <w:rPr>
            <w:rStyle w:val="Hyperlink"/>
          </w:rPr>
          <w:t xml:space="preserve">https://doi.org/10.1177/1065912915621175</w:t>
        </w:r>
      </w:hyperlink>
    </w:p>
    <w:bookmarkEnd w:id="84"/>
    <w:bookmarkStart w:id="85"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5"/>
    <w:bookmarkStart w:id="86"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6"/>
    <w:bookmarkStart w:id="88"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87">
        <w:r>
          <w:rPr>
            <w:rStyle w:val="Hyperlink"/>
          </w:rPr>
          <w:t xml:space="preserve">https://doi.org/10.1080/1369183X.2018.1500172</w:t>
        </w:r>
      </w:hyperlink>
    </w:p>
    <w:bookmarkEnd w:id="88"/>
    <w:bookmarkStart w:id="89"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89"/>
    <w:bookmarkStart w:id="90"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0"/>
    <w:bookmarkStart w:id="91"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1"/>
    <w:bookmarkStart w:id="93"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2">
        <w:r>
          <w:rPr>
            <w:rStyle w:val="Hyperlink"/>
          </w:rPr>
          <w:t xml:space="preserve">https://doi.org/10.1080/14649360902853262</w:t>
        </w:r>
      </w:hyperlink>
    </w:p>
    <w:bookmarkEnd w:id="93"/>
    <w:bookmarkStart w:id="94"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4"/>
    <w:bookmarkStart w:id="96"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5">
        <w:r>
          <w:rPr>
            <w:rStyle w:val="Hyperlink"/>
          </w:rPr>
          <w:t xml:space="preserve">https://doi.org/10.7551/mitpress/3303.001.0001</w:t>
        </w:r>
      </w:hyperlink>
    </w:p>
    <w:bookmarkEnd w:id="96"/>
    <w:bookmarkStart w:id="97"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97"/>
    <w:bookmarkStart w:id="98"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98"/>
    <w:bookmarkStart w:id="100" w:name="ref-joyner_2017"/>
    <w:p>
      <w:pPr>
        <w:pStyle w:val="Bibliography"/>
      </w:pPr>
      <w:r>
        <w:t xml:space="preserve">Joyner, K., Manning, W., &amp; Bogle, R. (2017). Gender and the</w:t>
      </w:r>
      <w:r>
        <w:t xml:space="preserve"> </w:t>
      </w:r>
      <w:r>
        <w:t xml:space="preserve">Stability</w:t>
      </w:r>
      <w:r>
        <w:t xml:space="preserve"> </w:t>
      </w:r>
      <w:r>
        <w:t xml:space="preserve">of</w:t>
      </w:r>
      <w:r>
        <w:t xml:space="preserve"> </w:t>
      </w:r>
      <w:r>
        <w:t xml:space="preserve">Same-Sex</w:t>
      </w:r>
      <w:r>
        <w:t xml:space="preserve"> </w:t>
      </w:r>
      <w:r>
        <w:t xml:space="preserve">and</w:t>
      </w:r>
      <w:r>
        <w:t xml:space="preserve"> </w:t>
      </w:r>
      <w:r>
        <w:t xml:space="preserve">Different-Sex Relationships Among Young Adults</w:t>
      </w:r>
      <w:r>
        <w:t xml:space="preserve">.</w:t>
      </w:r>
      <w:r>
        <w:t xml:space="preserve"> </w:t>
      </w:r>
      <w:r>
        <w:rPr>
          <w:iCs/>
          <w:i/>
        </w:rPr>
        <w:t xml:space="preserve">Demography</w:t>
      </w:r>
      <w:r>
        <w:t xml:space="preserve">,</w:t>
      </w:r>
      <w:r>
        <w:t xml:space="preserve"> </w:t>
      </w:r>
      <w:r>
        <w:rPr>
          <w:iCs/>
          <w:i/>
        </w:rPr>
        <w:t xml:space="preserve">54</w:t>
      </w:r>
      <w:r>
        <w:t xml:space="preserve">(6), 2351–2374.</w:t>
      </w:r>
      <w:r>
        <w:t xml:space="preserve"> </w:t>
      </w:r>
      <w:hyperlink r:id="rId99">
        <w:r>
          <w:rPr>
            <w:rStyle w:val="Hyperlink"/>
          </w:rPr>
          <w:t xml:space="preserve">https://doi.org/10.1007/s13524-017-0633-8</w:t>
        </w:r>
      </w:hyperlink>
    </w:p>
    <w:bookmarkEnd w:id="100"/>
    <w:bookmarkStart w:id="101"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1"/>
    <w:bookmarkStart w:id="103" w:name="ref-karemera_2000"/>
    <w:p>
      <w:pPr>
        <w:pStyle w:val="Bibliography"/>
      </w:pPr>
      <w:r>
        <w:t xml:space="preserve">Karemera, D., Oguledo, V. I., &amp; Davis, B. (2000). A gravity model analysis of international migration to</w:t>
      </w:r>
      <w:r>
        <w:t xml:space="preserve"> </w:t>
      </w:r>
      <w:r>
        <w:t xml:space="preserve">North America</w:t>
      </w:r>
      <w:r>
        <w:t xml:space="preserve">.</w:t>
      </w:r>
      <w:r>
        <w:t xml:space="preserve"> </w:t>
      </w:r>
      <w:r>
        <w:rPr>
          <w:iCs/>
          <w:i/>
        </w:rPr>
        <w:t xml:space="preserve">Applied Economics</w:t>
      </w:r>
      <w:r>
        <w:t xml:space="preserve">,</w:t>
      </w:r>
      <w:r>
        <w:t xml:space="preserve"> </w:t>
      </w:r>
      <w:r>
        <w:rPr>
          <w:iCs/>
          <w:i/>
        </w:rPr>
        <w:t xml:space="preserve">32</w:t>
      </w:r>
      <w:r>
        <w:t xml:space="preserve">(13), 1745–1755.</w:t>
      </w:r>
      <w:r>
        <w:t xml:space="preserve"> </w:t>
      </w:r>
      <w:hyperlink r:id="rId102">
        <w:r>
          <w:rPr>
            <w:rStyle w:val="Hyperlink"/>
          </w:rPr>
          <w:t xml:space="preserve">https://doi.org/10.1080/000368400421093</w:t>
        </w:r>
      </w:hyperlink>
    </w:p>
    <w:bookmarkEnd w:id="103"/>
    <w:bookmarkStart w:id="104"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4"/>
    <w:bookmarkStart w:id="105"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5"/>
    <w:bookmarkStart w:id="107" w:name="ref-klawitter_2015"/>
    <w:p>
      <w:pPr>
        <w:pStyle w:val="Bibliography"/>
      </w:pPr>
      <w:r>
        <w:t xml:space="preserve">Klawitter, M. (2015). Meta-</w:t>
      </w:r>
      <w:r>
        <w:t xml:space="preserve">Analysis</w:t>
      </w:r>
      <w:r>
        <w:t xml:space="preserve"> </w:t>
      </w:r>
      <w:r>
        <w:t xml:space="preserve">of the</w:t>
      </w:r>
      <w:r>
        <w:t xml:space="preserve"> </w:t>
      </w:r>
      <w:r>
        <w:t xml:space="preserve">Effects</w:t>
      </w:r>
      <w:r>
        <w:t xml:space="preserve"> </w:t>
      </w:r>
      <w:r>
        <w:t xml:space="preserve">of</w:t>
      </w:r>
      <w:r>
        <w:t xml:space="preserve"> </w:t>
      </w:r>
      <w:r>
        <w:t xml:space="preserve">Sexual Orientation</w:t>
      </w:r>
      <w:r>
        <w:t xml:space="preserve"> </w:t>
      </w:r>
      <w:r>
        <w:t xml:space="preserve">on</w:t>
      </w:r>
      <w:r>
        <w:t xml:space="preserve"> </w:t>
      </w:r>
      <w:r>
        <w:t xml:space="preserve">Earnings</w:t>
      </w:r>
      <w:r>
        <w:t xml:space="preserve">.</w:t>
      </w:r>
      <w:r>
        <w:t xml:space="preserve"> </w:t>
      </w:r>
      <w:r>
        <w:rPr>
          <w:iCs/>
          <w:i/>
        </w:rPr>
        <w:t xml:space="preserve">Industrial Relations: A Journal of Economy and Society</w:t>
      </w:r>
      <w:r>
        <w:t xml:space="preserve">,</w:t>
      </w:r>
      <w:r>
        <w:t xml:space="preserve"> </w:t>
      </w:r>
      <w:r>
        <w:rPr>
          <w:iCs/>
          <w:i/>
        </w:rPr>
        <w:t xml:space="preserve">54</w:t>
      </w:r>
      <w:r>
        <w:t xml:space="preserve">(1), 4–32.</w:t>
      </w:r>
      <w:r>
        <w:t xml:space="preserve"> </w:t>
      </w:r>
      <w:hyperlink r:id="rId106">
        <w:r>
          <w:rPr>
            <w:rStyle w:val="Hyperlink"/>
          </w:rPr>
          <w:t xml:space="preserve">https://doi.org/10.1111/irel.12075</w:t>
        </w:r>
      </w:hyperlink>
    </w:p>
    <w:bookmarkEnd w:id="107"/>
    <w:bookmarkStart w:id="108"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8"/>
    <w:bookmarkStart w:id="109"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9"/>
    <w:bookmarkStart w:id="111"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0">
        <w:r>
          <w:rPr>
            <w:rStyle w:val="Hyperlink"/>
          </w:rPr>
          <w:t xml:space="preserve">https://doi.org/10.1177/1363460714552251</w:t>
        </w:r>
      </w:hyperlink>
    </w:p>
    <w:bookmarkEnd w:id="111"/>
    <w:bookmarkStart w:id="113"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2">
        <w:r>
          <w:rPr>
            <w:rStyle w:val="Hyperlink"/>
          </w:rPr>
          <w:t xml:space="preserve">https://doi.org/10.1215/10642684-2007-029</w:t>
        </w:r>
      </w:hyperlink>
    </w:p>
    <w:bookmarkEnd w:id="113"/>
    <w:bookmarkStart w:id="114"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4"/>
    <w:bookmarkStart w:id="116"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5">
        <w:r>
          <w:rPr>
            <w:rStyle w:val="Hyperlink"/>
          </w:rPr>
          <w:t xml:space="preserve">https://doi.org/10.1080/17450100903195318</w:t>
        </w:r>
      </w:hyperlink>
    </w:p>
    <w:bookmarkEnd w:id="116"/>
    <w:bookmarkStart w:id="117"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7"/>
    <w:bookmarkStart w:id="119" w:name="ref-manning_2016"/>
    <w:p>
      <w:pPr>
        <w:pStyle w:val="Bibliography"/>
      </w:pPr>
      <w:r>
        <w:t xml:space="preserve">Manning, W. D., Brown, S. L., &amp; Stykes, J. B. (2016). Same-</w:t>
      </w:r>
      <w:r>
        <w:t xml:space="preserve">Sex</w:t>
      </w:r>
      <w:r>
        <w:t xml:space="preserve"> </w:t>
      </w:r>
      <w:r>
        <w:t xml:space="preserve">and</w:t>
      </w:r>
      <w:r>
        <w:t xml:space="preserve"> </w:t>
      </w:r>
      <w:r>
        <w:t xml:space="preserve">Different-Sex Cohabiting Couple Relationship Stability</w:t>
      </w:r>
      <w:r>
        <w:t xml:space="preserve">.</w:t>
      </w:r>
      <w:r>
        <w:t xml:space="preserve"> </w:t>
      </w:r>
      <w:r>
        <w:rPr>
          <w:iCs/>
          <w:i/>
        </w:rPr>
        <w:t xml:space="preserve">Demography</w:t>
      </w:r>
      <w:r>
        <w:t xml:space="preserve">,</w:t>
      </w:r>
      <w:r>
        <w:t xml:space="preserve"> </w:t>
      </w:r>
      <w:r>
        <w:rPr>
          <w:iCs/>
          <w:i/>
        </w:rPr>
        <w:t xml:space="preserve">53</w:t>
      </w:r>
      <w:r>
        <w:t xml:space="preserve">(4), 937–953.</w:t>
      </w:r>
      <w:r>
        <w:t xml:space="preserve"> </w:t>
      </w:r>
      <w:hyperlink r:id="rId118">
        <w:r>
          <w:rPr>
            <w:rStyle w:val="Hyperlink"/>
          </w:rPr>
          <w:t xml:space="preserve">https://doi.org/10.1007/s13524-016-0490-x</w:t>
        </w:r>
      </w:hyperlink>
    </w:p>
    <w:bookmarkEnd w:id="119"/>
    <w:bookmarkStart w:id="121"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0">
        <w:r>
          <w:rPr>
            <w:rStyle w:val="Hyperlink"/>
          </w:rPr>
          <w:t xml:space="preserve">https://doi.org/10.1007/s12122-020-09305-4</w:t>
        </w:r>
      </w:hyperlink>
    </w:p>
    <w:bookmarkEnd w:id="121"/>
    <w:bookmarkStart w:id="122"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2"/>
    <w:bookmarkStart w:id="123" w:name="ref-massey_1999"/>
    <w:p>
      <w:pPr>
        <w:pStyle w:val="Bibliography"/>
      </w:pPr>
      <w:r>
        <w:t xml:space="preserve">Massey, D. S., Arango, J., Hugo, G., Kouaouci, A., Pellegrino, A., &amp; Taylor, J. E. (1999).</w:t>
      </w:r>
      <w:r>
        <w:t xml:space="preserve"> </w:t>
      </w:r>
      <w:r>
        <w:rPr>
          <w:iCs/>
          <w:i/>
        </w:rPr>
        <w:t xml:space="preserve">Worlds in</w:t>
      </w:r>
      <w:r>
        <w:rPr>
          <w:iCs/>
          <w:i/>
        </w:rPr>
        <w:t xml:space="preserve"> </w:t>
      </w:r>
      <w:r>
        <w:rPr>
          <w:iCs/>
          <w:i/>
        </w:rPr>
        <w:t xml:space="preserve">Motion</w:t>
      </w:r>
      <w:r>
        <w:rPr>
          <w:iCs/>
          <w:i/>
        </w:rPr>
        <w:t xml:space="preserve">:</w:t>
      </w:r>
      <w:r>
        <w:rPr>
          <w:iCs/>
          <w:i/>
        </w:rPr>
        <w:t xml:space="preserve"> </w:t>
      </w:r>
      <w:r>
        <w:rPr>
          <w:iCs/>
          <w:i/>
        </w:rPr>
        <w:t xml:space="preserve">Understanding International Migration</w:t>
      </w:r>
      <w:r>
        <w:rPr>
          <w:iCs/>
          <w:i/>
        </w:rPr>
        <w:t xml:space="preserve"> </w:t>
      </w:r>
      <w:r>
        <w:rPr>
          <w:iCs/>
          <w:i/>
        </w:rPr>
        <w:t xml:space="preserve">at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Millennium</w:t>
      </w:r>
      <w:r>
        <w:t xml:space="preserve">.</w:t>
      </w:r>
      <w:r>
        <w:t xml:space="preserve"> </w:t>
      </w:r>
      <w:r>
        <w:t xml:space="preserve">Oxford University Press</w:t>
      </w:r>
      <w:r>
        <w:t xml:space="preserve">.</w:t>
      </w:r>
    </w:p>
    <w:bookmarkEnd w:id="123"/>
    <w:bookmarkStart w:id="124" w:name="ref-mayda_2010"/>
    <w:p>
      <w:pPr>
        <w:pStyle w:val="Bibliography"/>
      </w:pPr>
      <w:r>
        <w:t xml:space="preserve">Mayda, A. M. (2010). International migration:</w:t>
      </w:r>
      <w:r>
        <w:t xml:space="preserve"> </w:t>
      </w:r>
      <w:r>
        <w:t xml:space="preserve">A</w:t>
      </w:r>
      <w:r>
        <w:t xml:space="preserve"> </w:t>
      </w:r>
      <w:r>
        <w:t xml:space="preserve">panel data analysis of the determinants of bilateral flows.</w:t>
      </w:r>
      <w:r>
        <w:t xml:space="preserve"> </w:t>
      </w:r>
      <w:r>
        <w:rPr>
          <w:iCs/>
          <w:i/>
        </w:rPr>
        <w:t xml:space="preserve">Journal of Population Economics</w:t>
      </w:r>
      <w:r>
        <w:t xml:space="preserve">,</w:t>
      </w:r>
      <w:r>
        <w:t xml:space="preserve"> </w:t>
      </w:r>
      <w:r>
        <w:rPr>
          <w:iCs/>
          <w:i/>
        </w:rPr>
        <w:t xml:space="preserve">23</w:t>
      </w:r>
      <w:r>
        <w:t xml:space="preserve">(4), 1249–1274.</w:t>
      </w:r>
    </w:p>
    <w:bookmarkEnd w:id="124"/>
    <w:bookmarkStart w:id="126"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5">
        <w:r>
          <w:rPr>
            <w:rStyle w:val="Hyperlink"/>
          </w:rPr>
          <w:t xml:space="preserve">https://doi.org/10.2139/ssrn.1994531</w:t>
        </w:r>
      </w:hyperlink>
    </w:p>
    <w:bookmarkEnd w:id="126"/>
    <w:bookmarkStart w:id="127"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7"/>
    <w:bookmarkStart w:id="128"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8"/>
    <w:bookmarkStart w:id="129"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9"/>
    <w:bookmarkStart w:id="130"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0"/>
    <w:bookmarkStart w:id="131"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1"/>
    <w:bookmarkStart w:id="133"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2">
        <w:r>
          <w:rPr>
            <w:rStyle w:val="Hyperlink"/>
          </w:rPr>
          <w:t xml:space="preserve">https://doi.org/10.1080/13691058.2016.1184314</w:t>
        </w:r>
      </w:hyperlink>
    </w:p>
    <w:bookmarkEnd w:id="133"/>
    <w:bookmarkStart w:id="135"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4">
        <w:r>
          <w:rPr>
            <w:rStyle w:val="Hyperlink"/>
          </w:rPr>
          <w:t xml:space="preserve">https://doi.org/10.31235/osf.io/mzuwe</w:t>
        </w:r>
      </w:hyperlink>
    </w:p>
    <w:bookmarkEnd w:id="135"/>
    <w:bookmarkStart w:id="137"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6">
        <w:r>
          <w:rPr>
            <w:rStyle w:val="Hyperlink"/>
          </w:rPr>
          <w:t xml:space="preserve">https://doi.org/10.1093/migration/mnab007</w:t>
        </w:r>
      </w:hyperlink>
    </w:p>
    <w:bookmarkEnd w:id="137"/>
    <w:bookmarkStart w:id="138"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8"/>
    <w:bookmarkStart w:id="140"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9">
        <w:r>
          <w:rPr>
            <w:rStyle w:val="Hyperlink"/>
          </w:rPr>
          <w:t xml:space="preserve">https://doi.org/10.1080/19436149.2020.1704501</w:t>
        </w:r>
      </w:hyperlink>
    </w:p>
    <w:bookmarkEnd w:id="140"/>
    <w:bookmarkStart w:id="142"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1">
        <w:r>
          <w:rPr>
            <w:rStyle w:val="Hyperlink"/>
          </w:rPr>
          <w:t xml:space="preserve">https://doi.org/10.1080/09518398.2015.1017858</w:t>
        </w:r>
      </w:hyperlink>
    </w:p>
    <w:bookmarkEnd w:id="142"/>
    <w:bookmarkStart w:id="143"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3"/>
    <w:bookmarkStart w:id="144"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8" w:name="ref-todaro_1980"/>
    <w:p>
      <w:pPr>
        <w:pStyle w:val="Bibliography"/>
      </w:pPr>
      <w:r>
        <w:t xml:space="preserve">Todaro, M. (1980). Internal migration in developing countries:</w:t>
      </w:r>
      <w:r>
        <w:t xml:space="preserve"> </w:t>
      </w:r>
      <w:r>
        <w:t xml:space="preserve">A</w:t>
      </w:r>
      <w:r>
        <w:t xml:space="preserve"> </w:t>
      </w:r>
      <w:r>
        <w:t xml:space="preserve">survey. In</w:t>
      </w:r>
      <w:r>
        <w:t xml:space="preserve"> </w:t>
      </w:r>
      <w:r>
        <w:rPr>
          <w:iCs/>
          <w:i/>
        </w:rPr>
        <w:t xml:space="preserve">Population and economic change in developing countries</w:t>
      </w:r>
      <w:r>
        <w:t xml:space="preserve"> </w:t>
      </w:r>
      <w:r>
        <w:t xml:space="preserve">(pp. 361–402).</w:t>
      </w:r>
      <w:r>
        <w:t xml:space="preserve"> </w:t>
      </w:r>
      <w:r>
        <w:t xml:space="preserve">University of Chicago Press</w:t>
      </w:r>
      <w:r>
        <w:t xml:space="preserve">.</w:t>
      </w:r>
    </w:p>
    <w:bookmarkEnd w:id="148"/>
    <w:bookmarkStart w:id="149"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49"/>
    <w:bookmarkStart w:id="150"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0"/>
    <w:bookmarkStart w:id="151"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1"/>
    <w:bookmarkStart w:id="153"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2">
        <w:r>
          <w:rPr>
            <w:rStyle w:val="Hyperlink"/>
          </w:rPr>
          <w:t xml:space="preserve">https://doi.org/10.1093/sf/soy030</w:t>
        </w:r>
      </w:hyperlink>
    </w:p>
    <w:bookmarkEnd w:id="153"/>
    <w:bookmarkStart w:id="155"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4">
        <w:r>
          <w:rPr>
            <w:rStyle w:val="Hyperlink"/>
          </w:rPr>
          <w:t xml:space="preserve">https://doi.org/10.1111/lasr.12239</w:t>
        </w:r>
      </w:hyperlink>
    </w:p>
    <w:bookmarkEnd w:id="155"/>
    <w:bookmarkStart w:id="157"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6">
        <w:r>
          <w:rPr>
            <w:rStyle w:val="Hyperlink"/>
          </w:rPr>
          <w:t xml:space="preserve">https://doi.org/10.1177/13634607221103207</w:t>
        </w:r>
      </w:hyperlink>
    </w:p>
    <w:bookmarkEnd w:id="157"/>
    <w:bookmarkStart w:id="158"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58"/>
    <w:bookmarkEnd w:id="159"/>
    <w:p>
      <w:r>
        <w:br w:type="page"/>
      </w:r>
    </w:p>
    <w:bookmarkEnd w:id="160"/>
    <w:bookmarkStart w:id="161" w:name="tables"/>
    <w:p>
      <w:pPr>
        <w:pStyle w:val="Heading1"/>
      </w:pPr>
      <w:r>
        <w:t xml:space="preserve">Tables</w:t>
      </w:r>
    </w:p>
    <w:p>
      <w:pPr>
        <w:pStyle w:val="TableCaption"/>
      </w:pPr>
      <w:r>
        <w:t xml:space="preserve">Table 1:</w:t>
      </w:r>
      <w:r>
        <w:t xml:space="preserve"> </w:t>
      </w:r>
      <w:bookmarkStart w:id="dbbcccf8-9392-47b6-b0ab-70817dfee522" w:name="tab:country-tab"/>
      <w:r>
        <w:t xml:space="preserve">Sending countries ranked by proportion immigrant couples with same-sex partners</w:t>
      </w:r>
      <w:bookmarkEnd w:id="dbbcccf8-9392-47b6-b0ab-70817dfee52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5.377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4.563</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7.201</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-1.005</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2.147</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-1.072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4.420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-0.018</w:t>
            </w:r>
          </w:p>
        </w:tc>
      </w:tr>
      <w:tr>
        <w:trPr>
          <w:cantSplit/>
          <w:trHeight w:val="394"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0.658</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6.331</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f40a82cb-73cb-4e5f-9f49-d0ac06c8ff26" w:name="tab:state-tab"/>
      <w:r>
        <w:t xml:space="preserve">States ranked by proportion immigrant couples with same-sex partners</w:t>
      </w:r>
      <w:bookmarkEnd w:id="f40a82cb-73cb-4e5f-9f49-d0ac06c8ff2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65"/>
        <w:gridCol w:w="1876"/>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Proportion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policy score</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5.27</w:t>
            </w:r>
          </w:p>
        </w:tc>
      </w:tr>
      <w:tr>
        <w:trPr>
          <w:cantSplit/>
          <w:trHeight w:val="352"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-0.46</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4.40</w:t>
            </w:r>
          </w:p>
        </w:tc>
      </w:tr>
      <w:tr>
        <w:trPr>
          <w:cantSplit/>
          <w:trHeight w:val="353"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0.91 %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4.49</w:t>
            </w:r>
          </w:p>
        </w:tc>
      </w:tr>
      <w:tr>
        <w:trPr>
          <w:cantSplit/>
          <w:trHeight w:val="353"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0.90 %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1.00</w:t>
            </w:r>
          </w:p>
        </w:tc>
      </w:tr>
      <w:tr>
        <w:trPr>
          <w:cantSplit/>
          <w:trHeight w:val="360" w:hRule="auto"/>
        </w:trPr>
        <w:tc>
          <w:tcPr>
            <w:gridSpan w:val="4"/>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4596391b-69c2-4005-bee1-2bd62a0609a4" w:name="tab:state-props"/>
      <w:r>
        <w:t xml:space="preserve">Percent same-sex in by country of origin, U.S. state, and survey year.</w:t>
      </w:r>
      <w:bookmarkEnd w:id="4596391b-69c2-4005-bee1-2bd62a0609a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0.140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0.156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(0.066)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0.109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0.183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0.196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(0.089)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37980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1"/>
    <w:bookmarkStart w:id="183"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3" name="Picture"/>
            <a:graphic>
              <a:graphicData uri="http://schemas.openxmlformats.org/drawingml/2006/picture">
                <pic:pic>
                  <pic:nvPicPr>
                    <pic:cNvPr descr="ssimm_desc_files/figure-docx/total-pop-1.png" id="164" name="Picture"/>
                    <pic:cNvPicPr>
                      <a:picLocks noChangeArrowheads="1" noChangeAspect="1"/>
                    </pic:cNvPicPr>
                  </pic:nvPicPr>
                  <pic:blipFill>
                    <a:blip r:embed="rId16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6" name="Picture"/>
            <a:graphic>
              <a:graphicData uri="http://schemas.openxmlformats.org/drawingml/2006/picture">
                <pic:pic>
                  <pic:nvPicPr>
                    <pic:cNvPr descr="ssimm_desc_files/figure-docx/desc-country-1.png" id="167" name="Picture"/>
                    <pic:cNvPicPr>
                      <a:picLocks noChangeArrowheads="1" noChangeAspect="1"/>
                    </pic:cNvPicPr>
                  </pic:nvPicPr>
                  <pic:blipFill>
                    <a:blip r:embed="rId165"/>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69" name="Picture"/>
            <a:graphic>
              <a:graphicData uri="http://schemas.openxmlformats.org/drawingml/2006/picture">
                <pic:pic>
                  <pic:nvPicPr>
                    <pic:cNvPr descr="ssimm_desc_files/figure-docx/desc-ind-1.png" id="170" name="Picture"/>
                    <pic:cNvPicPr>
                      <a:picLocks noChangeArrowheads="1" noChangeAspect="1"/>
                    </pic:cNvPicPr>
                  </pic:nvPicPr>
                  <pic:blipFill>
                    <a:blip r:embed="rId16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2" name="Picture"/>
            <a:graphic>
              <a:graphicData uri="http://schemas.openxmlformats.org/drawingml/2006/picture">
                <pic:pic>
                  <pic:nvPicPr>
                    <pic:cNvPr descr="ssimm_desc_files/figure-docx/policy-desc-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5" name="Picture"/>
            <a:graphic>
              <a:graphicData uri="http://schemas.openxmlformats.org/drawingml/2006/picture">
                <pic:pic>
                  <pic:nvPicPr>
                    <pic:cNvPr descr="ssimm_desc_files/figure-docx/country-map-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78" name="Picture"/>
            <a:graphic>
              <a:graphicData uri="http://schemas.openxmlformats.org/drawingml/2006/picture">
                <pic:pic>
                  <pic:nvPicPr>
                    <pic:cNvPr descr="ssimm_desc_files/figure-docx/state-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1" name="Picture"/>
            <a:graphic>
              <a:graphicData uri="http://schemas.openxmlformats.org/drawingml/2006/picture">
                <pic:pic>
                  <pic:nvPicPr>
                    <pic:cNvPr descr="ssimm_desc_files/figure-docx/state-sim-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3"/>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4" Target="media/rId174.png" /><Relationship Type="http://schemas.openxmlformats.org/officeDocument/2006/relationships/image" Id="rId165" Target="media/rId165.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7" Target="media/rId177.png" /><Relationship Type="http://schemas.openxmlformats.org/officeDocument/2006/relationships/image" Id="rId180" Target="media/rId180.png" /><Relationship Type="http://schemas.openxmlformats.org/officeDocument/2006/relationships/image" Id="rId162" Target="media/rId162.png" /><Relationship Type="http://schemas.openxmlformats.org/officeDocument/2006/relationships/hyperlink" Id="rId50" Target="https://doi.org/10.1007/978-3-030-10910-3_11" TargetMode="External" /><Relationship Type="http://schemas.openxmlformats.org/officeDocument/2006/relationships/hyperlink" Id="rId47" Target="https://doi.org/10.1007/978-94-007-5512-3" TargetMode="External" /><Relationship Type="http://schemas.openxmlformats.org/officeDocument/2006/relationships/hyperlink" Id="rId120" Target="https://doi.org/10.1007/s12122-020-09305-4" TargetMode="External" /><Relationship Type="http://schemas.openxmlformats.org/officeDocument/2006/relationships/hyperlink" Id="rId118" Target="https://doi.org/10.1007/s13524-016-0490-x" TargetMode="External" /><Relationship Type="http://schemas.openxmlformats.org/officeDocument/2006/relationships/hyperlink" Id="rId99" Target="https://doi.org/10.1007/s13524-017-0633-8" TargetMode="External" /><Relationship Type="http://schemas.openxmlformats.org/officeDocument/2006/relationships/hyperlink" Id="rId79" Target="https://doi.org/10.1007/s13524-018-0684-5" TargetMode="External" /><Relationship Type="http://schemas.openxmlformats.org/officeDocument/2006/relationships/hyperlink" Id="rId81" Target="https://doi.org/10.1017/S0043887114000112" TargetMode="External" /><Relationship Type="http://schemas.openxmlformats.org/officeDocument/2006/relationships/hyperlink" Id="rId102" Target="https://doi.org/10.1080/000368400421093" TargetMode="External" /><Relationship Type="http://schemas.openxmlformats.org/officeDocument/2006/relationships/hyperlink" Id="rId53"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1" Target="https://doi.org/10.1080/09518398.2015.1017858" TargetMode="External" /><Relationship Type="http://schemas.openxmlformats.org/officeDocument/2006/relationships/hyperlink" Id="rId132"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0"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87"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2" Target="https://doi.org/10.1080/14649360902853262" TargetMode="External" /><Relationship Type="http://schemas.openxmlformats.org/officeDocument/2006/relationships/hyperlink" Id="rId115" Target="https://doi.org/10.1080/17450100903195318" TargetMode="External" /><Relationship Type="http://schemas.openxmlformats.org/officeDocument/2006/relationships/hyperlink" Id="rId139" Target="https://doi.org/10.1080/19436149.2020.1704501" TargetMode="External" /><Relationship Type="http://schemas.openxmlformats.org/officeDocument/2006/relationships/hyperlink" Id="rId136" Target="https://doi.org/10.1093/migration/mnab007" TargetMode="External" /><Relationship Type="http://schemas.openxmlformats.org/officeDocument/2006/relationships/hyperlink" Id="rId152" Target="https://doi.org/10.1093/sf/soy030" TargetMode="External" /><Relationship Type="http://schemas.openxmlformats.org/officeDocument/2006/relationships/hyperlink" Id="rId106" Target="https://doi.org/10.1111/irel.12075" TargetMode="External" /><Relationship Type="http://schemas.openxmlformats.org/officeDocument/2006/relationships/hyperlink" Id="rId55" Target="https://doi.org/10.1111/j.1467-954X.2009.01864.x" TargetMode="External" /><Relationship Type="http://schemas.openxmlformats.org/officeDocument/2006/relationships/hyperlink" Id="rId64" Target="https://doi.org/10.1111/kykl.12206" TargetMode="External" /><Relationship Type="http://schemas.openxmlformats.org/officeDocument/2006/relationships/hyperlink" Id="rId154" Target="https://doi.org/10.1111/lasr.12239" TargetMode="External" /><Relationship Type="http://schemas.openxmlformats.org/officeDocument/2006/relationships/hyperlink" Id="rId77" Target="https://doi.org/10.1146/annurev-soc-121919-054639" TargetMode="External" /><Relationship Type="http://schemas.openxmlformats.org/officeDocument/2006/relationships/hyperlink" Id="rId72" Target="https://doi.org/10.1177/0011392119850231" TargetMode="External" /><Relationship Type="http://schemas.openxmlformats.org/officeDocument/2006/relationships/hyperlink" Id="rId45" Target="https://doi.org/10.1177/0192513X12464872" TargetMode="External" /><Relationship Type="http://schemas.openxmlformats.org/officeDocument/2006/relationships/hyperlink" Id="rId83" Target="https://doi.org/10.1177/1065912915621175" TargetMode="External" /><Relationship Type="http://schemas.openxmlformats.org/officeDocument/2006/relationships/hyperlink" Id="rId110" Target="https://doi.org/10.1177/1363460714552251" TargetMode="External" /><Relationship Type="http://schemas.openxmlformats.org/officeDocument/2006/relationships/hyperlink" Id="rId156" Target="https://doi.org/10.1177/13634607221103207" TargetMode="External" /><Relationship Type="http://schemas.openxmlformats.org/officeDocument/2006/relationships/hyperlink" Id="rId68" Target="https://doi.org/10.1186/s40878-020-00210-4" TargetMode="External" /><Relationship Type="http://schemas.openxmlformats.org/officeDocument/2006/relationships/hyperlink" Id="rId112" Target="https://doi.org/10.1215/10642684-2007-029" TargetMode="External" /><Relationship Type="http://schemas.openxmlformats.org/officeDocument/2006/relationships/hyperlink" Id="rId75" Target="https://doi.org/10.1257/aer.20130954" TargetMode="External" /><Relationship Type="http://schemas.openxmlformats.org/officeDocument/2006/relationships/hyperlink" Id="rId43" Target="https://doi.org/10.1257/jep.35.2.141" TargetMode="External" /><Relationship Type="http://schemas.openxmlformats.org/officeDocument/2006/relationships/hyperlink" Id="rId125" Target="https://doi.org/10.2139/ssrn.1994531" TargetMode="External" /><Relationship Type="http://schemas.openxmlformats.org/officeDocument/2006/relationships/hyperlink" Id="rId134" Target="https://doi.org/10.31235/osf.io/mzuwe" TargetMode="External" /><Relationship Type="http://schemas.openxmlformats.org/officeDocument/2006/relationships/hyperlink" Id="rId95"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50" Target="https://doi.org/10.1007/978-3-030-10910-3_11" TargetMode="External" /><Relationship Type="http://schemas.openxmlformats.org/officeDocument/2006/relationships/hyperlink" Id="rId47" Target="https://doi.org/10.1007/978-94-007-5512-3" TargetMode="External" /><Relationship Type="http://schemas.openxmlformats.org/officeDocument/2006/relationships/hyperlink" Id="rId120" Target="https://doi.org/10.1007/s12122-020-09305-4" TargetMode="External" /><Relationship Type="http://schemas.openxmlformats.org/officeDocument/2006/relationships/hyperlink" Id="rId118" Target="https://doi.org/10.1007/s13524-016-0490-x" TargetMode="External" /><Relationship Type="http://schemas.openxmlformats.org/officeDocument/2006/relationships/hyperlink" Id="rId99" Target="https://doi.org/10.1007/s13524-017-0633-8" TargetMode="External" /><Relationship Type="http://schemas.openxmlformats.org/officeDocument/2006/relationships/hyperlink" Id="rId79" Target="https://doi.org/10.1007/s13524-018-0684-5" TargetMode="External" /><Relationship Type="http://schemas.openxmlformats.org/officeDocument/2006/relationships/hyperlink" Id="rId81" Target="https://doi.org/10.1017/S0043887114000112" TargetMode="External" /><Relationship Type="http://schemas.openxmlformats.org/officeDocument/2006/relationships/hyperlink" Id="rId102" Target="https://doi.org/10.1080/000368400421093" TargetMode="External" /><Relationship Type="http://schemas.openxmlformats.org/officeDocument/2006/relationships/hyperlink" Id="rId53"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41" Target="https://doi.org/10.1080/09518398.2015.1017858" TargetMode="External" /><Relationship Type="http://schemas.openxmlformats.org/officeDocument/2006/relationships/hyperlink" Id="rId132"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0"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87"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2" Target="https://doi.org/10.1080/14649360902853262" TargetMode="External" /><Relationship Type="http://schemas.openxmlformats.org/officeDocument/2006/relationships/hyperlink" Id="rId115" Target="https://doi.org/10.1080/17450100903195318" TargetMode="External" /><Relationship Type="http://schemas.openxmlformats.org/officeDocument/2006/relationships/hyperlink" Id="rId139" Target="https://doi.org/10.1080/19436149.2020.1704501" TargetMode="External" /><Relationship Type="http://schemas.openxmlformats.org/officeDocument/2006/relationships/hyperlink" Id="rId136" Target="https://doi.org/10.1093/migration/mnab007" TargetMode="External" /><Relationship Type="http://schemas.openxmlformats.org/officeDocument/2006/relationships/hyperlink" Id="rId152" Target="https://doi.org/10.1093/sf/soy030" TargetMode="External" /><Relationship Type="http://schemas.openxmlformats.org/officeDocument/2006/relationships/hyperlink" Id="rId106" Target="https://doi.org/10.1111/irel.12075" TargetMode="External" /><Relationship Type="http://schemas.openxmlformats.org/officeDocument/2006/relationships/hyperlink" Id="rId55" Target="https://doi.org/10.1111/j.1467-954X.2009.01864.x" TargetMode="External" /><Relationship Type="http://schemas.openxmlformats.org/officeDocument/2006/relationships/hyperlink" Id="rId64" Target="https://doi.org/10.1111/kykl.12206" TargetMode="External" /><Relationship Type="http://schemas.openxmlformats.org/officeDocument/2006/relationships/hyperlink" Id="rId154" Target="https://doi.org/10.1111/lasr.12239" TargetMode="External" /><Relationship Type="http://schemas.openxmlformats.org/officeDocument/2006/relationships/hyperlink" Id="rId77" Target="https://doi.org/10.1146/annurev-soc-121919-054639" TargetMode="External" /><Relationship Type="http://schemas.openxmlformats.org/officeDocument/2006/relationships/hyperlink" Id="rId72" Target="https://doi.org/10.1177/0011392119850231" TargetMode="External" /><Relationship Type="http://schemas.openxmlformats.org/officeDocument/2006/relationships/hyperlink" Id="rId45" Target="https://doi.org/10.1177/0192513X12464872" TargetMode="External" /><Relationship Type="http://schemas.openxmlformats.org/officeDocument/2006/relationships/hyperlink" Id="rId83" Target="https://doi.org/10.1177/1065912915621175" TargetMode="External" /><Relationship Type="http://schemas.openxmlformats.org/officeDocument/2006/relationships/hyperlink" Id="rId110" Target="https://doi.org/10.1177/1363460714552251" TargetMode="External" /><Relationship Type="http://schemas.openxmlformats.org/officeDocument/2006/relationships/hyperlink" Id="rId156" Target="https://doi.org/10.1177/13634607221103207" TargetMode="External" /><Relationship Type="http://schemas.openxmlformats.org/officeDocument/2006/relationships/hyperlink" Id="rId68" Target="https://doi.org/10.1186/s40878-020-00210-4" TargetMode="External" /><Relationship Type="http://schemas.openxmlformats.org/officeDocument/2006/relationships/hyperlink" Id="rId112" Target="https://doi.org/10.1215/10642684-2007-029" TargetMode="External" /><Relationship Type="http://schemas.openxmlformats.org/officeDocument/2006/relationships/hyperlink" Id="rId75" Target="https://doi.org/10.1257/aer.20130954" TargetMode="External" /><Relationship Type="http://schemas.openxmlformats.org/officeDocument/2006/relationships/hyperlink" Id="rId43" Target="https://doi.org/10.1257/jep.35.2.141" TargetMode="External" /><Relationship Type="http://schemas.openxmlformats.org/officeDocument/2006/relationships/hyperlink" Id="rId125" Target="https://doi.org/10.2139/ssrn.1994531" TargetMode="External" /><Relationship Type="http://schemas.openxmlformats.org/officeDocument/2006/relationships/hyperlink" Id="rId134" Target="https://doi.org/10.31235/osf.io/mzuwe" TargetMode="External" /><Relationship Type="http://schemas.openxmlformats.org/officeDocument/2006/relationships/hyperlink" Id="rId95"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2022-06-20T19:00:12Z</dcterms:created>
  <dcterms:modified xsi:type="dcterms:W3CDTF">2022-06-20T19:00:12Z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editor_options">
    <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indent">
    <vt:lpwstr>True</vt:lpwstr>
  </property>
  <property fmtid="{D5CDD505-2E9C-101B-9397-08002B2CF9AE}" pid="11" name="link-citations">
    <vt:lpwstr>False</vt:lpwstr>
  </property>
  <property fmtid="{D5CDD505-2E9C-101B-9397-08002B2CF9AE}" pid="12" name="linkcolor">
    <vt:lpwstr>black</vt:lpwstr>
  </property>
  <property fmtid="{D5CDD505-2E9C-101B-9397-08002B2CF9AE}" pid="13" name="mainfont">
    <vt:lpwstr>Times New Roman</vt:lpwstr>
  </property>
  <property fmtid="{D5CDD505-2E9C-101B-9397-08002B2CF9AE}" pid="14" name="output">
    <vt:lpwstr/>
  </property>
</Properties>
</file>